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196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山东大学</w:t>
      </w:r>
      <w:r>
        <w:rPr>
          <w:rFonts w:hint="eastAsia" w:ascii="仿宋_GB2312" w:eastAsia="仿宋_GB2312"/>
          <w:b/>
          <w:bCs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36"/>
          <w:szCs w:val="36"/>
        </w:rPr>
        <w:t>学院2018年度实习计划汇总表</w:t>
      </w:r>
    </w:p>
    <w:p>
      <w:pPr>
        <w:ind w:firstLine="600" w:firstLineChars="250"/>
        <w:rPr>
          <w:rFonts w:hint="eastAsia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单位（盖章）：                                         填表人：                 填表时间：</w:t>
      </w:r>
    </w:p>
    <w:tbl>
      <w:tblPr>
        <w:tblStyle w:val="3"/>
        <w:tblW w:w="1386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8"/>
        <w:gridCol w:w="1701"/>
        <w:gridCol w:w="1985"/>
        <w:gridCol w:w="1843"/>
        <w:gridCol w:w="1417"/>
        <w:gridCol w:w="1586"/>
        <w:gridCol w:w="18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实习名称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实习内容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实习地点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（实习基地）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实习时间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（日期）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参加学生人数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可接纳学生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带队教师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shd w:val="clear" w:color="auto" w:fill="auto"/>
            <w:vAlign w:val="top"/>
          </w:tcPr>
          <w:p/>
        </w:tc>
        <w:tc>
          <w:tcPr>
            <w:tcW w:w="1548" w:type="dxa"/>
            <w:shd w:val="clear" w:color="auto" w:fill="auto"/>
            <w:vAlign w:val="top"/>
          </w:tcPr>
          <w:p/>
        </w:tc>
        <w:tc>
          <w:tcPr>
            <w:tcW w:w="1701" w:type="dxa"/>
            <w:shd w:val="clear" w:color="auto" w:fill="auto"/>
            <w:vAlign w:val="top"/>
          </w:tcPr>
          <w:p/>
        </w:tc>
        <w:tc>
          <w:tcPr>
            <w:tcW w:w="1985" w:type="dxa"/>
            <w:shd w:val="clear" w:color="auto" w:fill="auto"/>
            <w:vAlign w:val="top"/>
          </w:tcPr>
          <w:p/>
        </w:tc>
        <w:tc>
          <w:tcPr>
            <w:tcW w:w="1843" w:type="dxa"/>
            <w:shd w:val="clear" w:color="auto" w:fill="auto"/>
            <w:vAlign w:val="top"/>
          </w:tcPr>
          <w:p/>
        </w:tc>
        <w:tc>
          <w:tcPr>
            <w:tcW w:w="1417" w:type="dxa"/>
            <w:shd w:val="clear" w:color="auto" w:fill="auto"/>
            <w:vAlign w:val="top"/>
          </w:tcPr>
          <w:p/>
        </w:tc>
        <w:tc>
          <w:tcPr>
            <w:tcW w:w="1586" w:type="dxa"/>
            <w:shd w:val="clear" w:color="auto" w:fill="auto"/>
            <w:vAlign w:val="top"/>
          </w:tcPr>
          <w:p/>
        </w:tc>
        <w:tc>
          <w:tcPr>
            <w:tcW w:w="1800" w:type="dxa"/>
            <w:shd w:val="clear" w:color="auto" w:fill="auto"/>
            <w:vAlign w:val="top"/>
          </w:tcPr>
          <w:p/>
        </w:tc>
        <w:tc>
          <w:tcPr>
            <w:tcW w:w="1440" w:type="dxa"/>
            <w:shd w:val="clear" w:color="auto" w:fill="auto"/>
            <w:vAlign w:val="top"/>
          </w:tcPr>
          <w:p/>
        </w:tc>
      </w:tr>
    </w:tbl>
    <w:p>
      <w:r>
        <w:rPr>
          <w:rFonts w:hint="eastAsia" w:ascii="仿宋_GB2312" w:eastAsia="仿宋_GB2312"/>
        </w:rPr>
        <w:t xml:space="preserve">山东大学本科生院制表     </w:t>
      </w:r>
      <w:bookmarkStart w:id="0" w:name="_GoBack"/>
      <w:bookmarkEnd w:id="0"/>
    </w:p>
    <w:sectPr>
      <w:pgSz w:w="16838" w:h="11906" w:orient="landscape"/>
      <w:pgMar w:top="1349" w:right="1440" w:bottom="140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